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w:t>
      </w:r>
      <w:r w:rsidDel="00000000" w:rsidR="00000000" w:rsidRPr="00000000">
        <w:rPr>
          <w:rFonts w:ascii="Calibri" w:cs="Calibri" w:eastAsia="Calibri" w:hAnsi="Calibri"/>
          <w:b w:val="1"/>
          <w:sz w:val="36"/>
          <w:szCs w:val="36"/>
          <w:rtl w:val="0"/>
        </w:rPr>
        <w:t xml:space="preserve">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v následujícím programu: XXX.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r>
      <w:r w:rsidDel="00000000" w:rsidR="00000000" w:rsidRPr="00000000">
        <w:rPr>
          <w:rFonts w:ascii="Calibri" w:cs="Calibri" w:eastAsia="Calibri" w:hAnsi="Calibri"/>
          <w:color w:val="000000"/>
          <w:rtl w:val="0"/>
        </w:rPr>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w:t>
      </w:r>
      <w:r w:rsidDel="00000000" w:rsidR="00000000" w:rsidRPr="00000000">
        <w:rPr>
          <w:rFonts w:ascii="Calibri" w:cs="Calibri" w:eastAsia="Calibri" w:hAnsi="Calibri"/>
          <w:color w:val="000000"/>
          <w:rtl w:val="0"/>
        </w:rPr>
        <w:t xml:space="preser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1"/>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1"/>
        </w:numPr>
        <w:ind w:left="425" w:hanging="425"/>
        <w:rPr/>
      </w:pPr>
      <w:r w:rsidDel="00000000" w:rsidR="00000000" w:rsidRPr="00000000">
        <w:rPr>
          <w:rFonts w:ascii="Calibri" w:cs="Calibri" w:eastAsia="Calibri" w:hAnsi="Calibri"/>
          <w:rtl w:val="0"/>
        </w:rPr>
        <w:t xml:space="preserve">Účelem podpory je provádění činností výzkumu, vývoje a inovací nebo činností souvisejících, jež efektivně směřují k dosažení cílů projektu za podmínek pravidel poskytnutí podpory.</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4"/>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2">
      <w:pPr>
        <w:numPr>
          <w:ilvl w:val="0"/>
          <w:numId w:val="4"/>
        </w:numPr>
        <w:ind w:left="425" w:hanging="425"/>
        <w:rPr/>
      </w:pPr>
      <w:r w:rsidDel="00000000" w:rsidR="00000000" w:rsidRPr="00000000">
        <w:rPr>
          <w:rFonts w:ascii="Calibri" w:cs="Calibri" w:eastAsia="Calibri" w:hAnsi="Calibri"/>
          <w:rtl w:val="0"/>
        </w:rPr>
        <w:t xml:space="preserve">Maximální výše uznaných nákladů projekt</w:t>
      </w:r>
      <w:r w:rsidDel="00000000" w:rsidR="00000000" w:rsidRPr="00000000">
        <w:rPr>
          <w:rFonts w:ascii="Calibri" w:cs="Calibri" w:eastAsia="Calibri" w:hAnsi="Calibri"/>
          <w:rtl w:val="0"/>
        </w:rPr>
        <w:t xml:space="preserve">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4"/>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30j0zll"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3"/>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w:t>
      </w:r>
      <w:r w:rsidDel="00000000" w:rsidR="00000000" w:rsidRPr="00000000">
        <w:rPr>
          <w:rFonts w:ascii="Calibri" w:cs="Calibri" w:eastAsia="Calibri" w:hAnsi="Calibri"/>
          <w:rtl w:val="0"/>
        </w:rPr>
        <w:t xml:space="preserve"> sc</w:t>
      </w:r>
      <w:r w:rsidDel="00000000" w:rsidR="00000000" w:rsidRPr="00000000">
        <w:rPr>
          <w:rFonts w:ascii="Calibri" w:cs="Calibri" w:eastAsia="Calibri" w:hAnsi="Calibri"/>
          <w:rtl w:val="0"/>
        </w:rPr>
        <w:t xml:space="preserve">hváleným návrhem projektu ve smyslu § 9 odst. 2 ZPVV. Závazné parametry řešení projektu obsahují označení hlavního příjemce a dalších účastníků, jméno, příjmení a případné akademické tituly a vědecké hodnosti </w:t>
      </w:r>
      <w:r w:rsidDel="00000000" w:rsidR="00000000" w:rsidRPr="00000000">
        <w:rPr>
          <w:rFonts w:ascii="Calibri" w:cs="Calibri" w:eastAsia="Calibri" w:hAnsi="Calibri"/>
          <w:rtl w:val="0"/>
        </w:rPr>
        <w:t xml:space="preserve">řešitele</w:t>
      </w:r>
      <w:r w:rsidDel="00000000" w:rsidR="00000000" w:rsidRPr="00000000">
        <w:rPr>
          <w:rFonts w:ascii="Calibri" w:cs="Calibri" w:eastAsia="Calibri" w:hAnsi="Calibri"/>
          <w:rtl w:val="0"/>
        </w:rPr>
        <w:t xml:space="preserve">, termín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3"/>
        </w:numPr>
        <w:ind w:left="425" w:hanging="425"/>
        <w:rPr/>
      </w:pPr>
      <w:r w:rsidDel="00000000" w:rsidR="00000000" w:rsidRPr="00000000">
        <w:rPr>
          <w:rFonts w:ascii="Calibri" w:cs="Calibri" w:eastAsia="Calibri" w:hAnsi="Calibri"/>
          <w:rtl w:val="0"/>
        </w:rPr>
        <w:t xml:space="preserve">Další podmínky poskytnutí podpory a řešení p</w:t>
      </w:r>
      <w:r w:rsidDel="00000000" w:rsidR="00000000" w:rsidRPr="00000000">
        <w:rPr>
          <w:rFonts w:ascii="Calibri" w:cs="Calibri" w:eastAsia="Calibri" w:hAnsi="Calibri"/>
          <w:rtl w:val="0"/>
        </w:rPr>
        <w:t xml:space="preserve">rojektu uvádíme v</w:t>
      </w:r>
      <w:r w:rsidDel="00000000" w:rsidR="00000000" w:rsidRPr="00000000">
        <w:rPr>
          <w:rFonts w:ascii="Calibri" w:cs="Calibri" w:eastAsia="Calibri" w:hAnsi="Calibri"/>
          <w:rtl w:val="0"/>
        </w:rPr>
        <w:t xml:space="preserve">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3"/>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w:t>
      </w:r>
      <w:r w:rsidDel="00000000" w:rsidR="00000000" w:rsidRPr="00000000">
        <w:rPr>
          <w:rFonts w:ascii="Calibri" w:cs="Calibri" w:eastAsia="Calibri" w:hAnsi="Calibri"/>
          <w:rtl w:val="0"/>
        </w:rPr>
        <w:t xml:space="preserve">u, použijeme př</w:t>
      </w:r>
      <w:r w:rsidDel="00000000" w:rsidR="00000000" w:rsidRPr="00000000">
        <w:rPr>
          <w:rFonts w:ascii="Calibri" w:cs="Calibri" w:eastAsia="Calibri" w:hAnsi="Calibri"/>
          <w:rtl w:val="0"/>
        </w:rPr>
        <w:t xml:space="preserve">ednostně ustanovení Smlouvy, dále ustanovení Všeobecných podmínek a dále Závazných parametrů řešení projektu.</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bookmarkStart w:colFirst="0" w:colLast="0" w:name="1fob9te"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3znysh7"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5"/>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r w:rsidDel="00000000" w:rsidR="00000000" w:rsidRPr="00000000">
        <w:rPr>
          <w:rtl w:val="0"/>
        </w:rPr>
      </w:r>
    </w:p>
    <w:p w:rsidR="00000000" w:rsidDel="00000000" w:rsidP="00000000" w:rsidRDefault="00000000" w:rsidRPr="00000000" w14:paraId="0000002D">
      <w:pPr>
        <w:numPr>
          <w:ilvl w:val="0"/>
          <w:numId w:val="5"/>
        </w:numPr>
        <w:spacing w:after="120" w:lineRule="auto"/>
        <w:ind w:left="425" w:hanging="283.2677165354331"/>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2E">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2F">
      <w:pPr>
        <w:numPr>
          <w:ilvl w:val="0"/>
          <w:numId w:val="5"/>
        </w:numPr>
        <w:spacing w:after="120" w:before="0" w:lineRule="auto"/>
        <w:ind w:left="360" w:hanging="218.26771653543312"/>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příjemce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0">
      <w:pPr>
        <w:keepNext w:val="1"/>
        <w:keepLines w:val="1"/>
        <w:numPr>
          <w:ilvl w:val="0"/>
          <w:numId w:val="5"/>
        </w:numPr>
        <w:pBdr>
          <w:top w:space="0" w:sz="0" w:val="nil"/>
          <w:left w:space="0" w:sz="0" w:val="nil"/>
          <w:bottom w:space="0" w:sz="0" w:val="nil"/>
          <w:right w:space="0" w:sz="0" w:val="nil"/>
          <w:between w:space="0" w:sz="0" w:val="nil"/>
        </w:pBdr>
        <w:ind w:left="426" w:hanging="284.2677165354331"/>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1">
      <w:pPr>
        <w:numPr>
          <w:ilvl w:val="0"/>
          <w:numId w:val="5"/>
        </w:numPr>
        <w:spacing w:line="240" w:lineRule="auto"/>
        <w:ind w:left="360" w:hanging="218.26771653543312"/>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2">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w:t>
      </w:r>
      <w:r w:rsidDel="00000000" w:rsidR="00000000" w:rsidRPr="00000000">
        <w:rPr>
          <w:rFonts w:ascii="Calibri" w:cs="Calibri" w:eastAsia="Calibri" w:hAnsi="Calibri"/>
          <w:rtl w:val="0"/>
        </w:rPr>
        <w:t xml:space="preserve">v českém nebo anglickém jazyce</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425" w:right="0" w:hanging="283.2677165354331"/>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r w:rsidDel="00000000" w:rsidR="00000000" w:rsidRPr="00000000">
        <w:rPr>
          <w:rtl w:val="0"/>
        </w:rPr>
      </w:r>
    </w:p>
    <w:p w:rsidR="00000000" w:rsidDel="00000000" w:rsidP="00000000" w:rsidRDefault="00000000" w:rsidRPr="00000000" w14:paraId="00000035">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6">
      <w:pPr>
        <w:numPr>
          <w:ilvl w:val="0"/>
          <w:numId w:val="5"/>
        </w:numPr>
        <w:ind w:left="566.9291338582675" w:right="566" w:hanging="425.1968503937007"/>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Calibri" w:cs="Calibri" w:eastAsia="Calibri" w:hAnsi="Calibri"/>
          <w:rtl w:val="0"/>
        </w:rPr>
        <w:t xml:space="preserve">o dostupnosti a způsobu šíření výsledků výzkumu a výzkumných dat projektu, v souladu se zásadou, že výsledky výzkumu a výzkumná data nejsou zveřejňovány pouze v odůvodněných případech.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7">
      <w:pPr>
        <w:numPr>
          <w:ilvl w:val="0"/>
          <w:numId w:val="5"/>
        </w:numPr>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je hlavní příjemce povinen zajistit dlouhodobý bezplatný on-line přístup pro jakéhokoliv uživatele k výzkumným datům projektu a ke všem výstupům/výsledkům druhů  J, N a Vsouhrn, bez ohledu na to, zda vzniknou jako výsledky plánované či nad rámec. Výstup/výsledek a data musí být opatřeny perzistentním identifikátorem.</w:t>
      </w:r>
      <w:r w:rsidDel="00000000" w:rsidR="00000000" w:rsidRPr="00000000">
        <w:rPr>
          <w:rtl w:val="0"/>
        </w:rPr>
      </w:r>
    </w:p>
    <w:p w:rsidR="00000000" w:rsidDel="00000000" w:rsidP="00000000" w:rsidRDefault="00000000" w:rsidRPr="00000000" w14:paraId="00000038">
      <w:pPr>
        <w:numPr>
          <w:ilvl w:val="0"/>
          <w:numId w:val="5"/>
        </w:numPr>
        <w:spacing w:line="276" w:lineRule="auto"/>
        <w:ind w:left="566.9291338582675" w:right="566" w:hanging="425.1968503937007"/>
        <w:rPr>
          <w:rFonts w:ascii="Calibri" w:cs="Calibri" w:eastAsia="Calibri" w:hAnsi="Calibri"/>
        </w:rPr>
      </w:pPr>
      <w:r w:rsidDel="00000000" w:rsidR="00000000" w:rsidRPr="00000000">
        <w:rPr>
          <w:rFonts w:ascii="Calibri" w:cs="Calibri" w:eastAsia="Calibri" w:hAnsi="Calibri"/>
          <w:rtl w:val="0"/>
        </w:rPr>
        <w:t xml:space="preserve">Nad rámec Všeobecných podmínek mají příjemci povinnost zajistit naplnění požadavků týkajících se otevřeného přístupu uvedených v dokumentu Výzkumná data a otevřený přístup k výstupům/výsledkům.</w:t>
      </w:r>
    </w:p>
    <w:p w:rsidR="00000000" w:rsidDel="00000000" w:rsidP="00000000" w:rsidRDefault="00000000" w:rsidRPr="00000000" w14:paraId="00000039">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Konkrétně příjemci musí</w:t>
      </w:r>
    </w:p>
    <w:p w:rsidR="00000000" w:rsidDel="00000000" w:rsidP="00000000" w:rsidRDefault="00000000" w:rsidRPr="00000000" w14:paraId="0000003A">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uložit strojově čitelnou finální verzi textu výstupu/výsledku anebo výzkumných dat do repozitáře a </w:t>
      </w:r>
    </w:p>
    <w:p w:rsidR="00000000" w:rsidDel="00000000" w:rsidP="00000000" w:rsidRDefault="00000000" w:rsidRPr="00000000" w14:paraId="0000003B">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umožnit otevřený přístup k textu k výstupu/výsledku a souvisejícím výzkumným datům za podmínek vhodné licence zveřejněním v repozitáři nebo publikováním v otevřeném časopise, a to tak, že otevřený přístup musí být poskytnut do 6 měsíců (12 měsíců v případě sociálních a humanitních věd) od zveřejnění nebo dokončení výstupu/výsledku, nejpozději do konce řešení projektu. </w:t>
      </w:r>
    </w:p>
    <w:p w:rsidR="00000000" w:rsidDel="00000000" w:rsidP="00000000" w:rsidRDefault="00000000" w:rsidRPr="00000000" w14:paraId="0000003C">
      <w:pPr>
        <w:spacing w:after="160" w:before="0" w:line="276"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Nezveřejnění dat, popř. omezení přístupu, musí příjemce uvést a odůvodnit v Plánu správy dat. Porušení výše uvedených povinností hlavním příjemcem má za následek vznik povinnosti uhradit smluvní pokutu ve výši 5 000 Kč za každé takové jednotlivé porušení. </w:t>
      </w:r>
    </w:p>
    <w:p w:rsidR="00000000" w:rsidDel="00000000" w:rsidP="00000000" w:rsidRDefault="00000000" w:rsidRPr="00000000" w14:paraId="0000003D">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Hlavní příjemce a další účastníci projektu nejsou povinni zpřístupnit výzkumná data (projektu či konkrétního výsledku), pokud by jejich zpřístupněním došlo k nepřiměřenému zásahu do: </w:t>
      </w:r>
    </w:p>
    <w:p w:rsidR="00000000" w:rsidDel="00000000" w:rsidP="00000000" w:rsidRDefault="00000000" w:rsidRPr="00000000" w14:paraId="0000003E">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a. práva na ochranu duševního vlastnictví, </w:t>
      </w:r>
    </w:p>
    <w:p w:rsidR="00000000" w:rsidDel="00000000" w:rsidP="00000000" w:rsidRDefault="00000000" w:rsidRPr="00000000" w14:paraId="0000003F">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b. práva na ochranu soukromí a osobních údajů či </w:t>
      </w:r>
    </w:p>
    <w:p w:rsidR="00000000" w:rsidDel="00000000" w:rsidP="00000000" w:rsidRDefault="00000000" w:rsidRPr="00000000" w14:paraId="00000040">
      <w:pPr>
        <w:spacing w:after="160" w:before="0" w:line="259" w:lineRule="auto"/>
        <w:ind w:left="566.9291338582675" w:firstLine="0"/>
        <w:jc w:val="left"/>
        <w:rPr>
          <w:rFonts w:ascii="Calibri" w:cs="Calibri" w:eastAsia="Calibri" w:hAnsi="Calibri"/>
        </w:rPr>
      </w:pPr>
      <w:r w:rsidDel="00000000" w:rsidR="00000000" w:rsidRPr="00000000">
        <w:rPr>
          <w:rFonts w:ascii="Calibri" w:cs="Calibri" w:eastAsia="Calibri" w:hAnsi="Calibri"/>
          <w:rtl w:val="0"/>
        </w:rPr>
        <w:t xml:space="preserve">c. práva na ochranu obchodního tajemství, bezpečnosti státu nebo jiných oprávněných zájmů příjemce (např. v případě možnosti obchodního využití). </w:t>
      </w:r>
    </w:p>
    <w:p w:rsidR="00000000" w:rsidDel="00000000" w:rsidP="00000000" w:rsidRDefault="00000000" w:rsidRPr="00000000" w14:paraId="00000041">
      <w:pPr>
        <w:numPr>
          <w:ilvl w:val="0"/>
          <w:numId w:val="5"/>
        </w:numPr>
        <w:ind w:left="566.9291338582675" w:right="566" w:hanging="425.1968503937007"/>
        <w:rPr>
          <w:rFonts w:ascii="Calibri" w:cs="Calibri" w:eastAsia="Calibri" w:hAnsi="Calibri"/>
          <w:b w:val="1"/>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na základě kterých bude možné ověřit, že jsou výstupy/výsledky a výzkumná data otevřeně přístupná dle výše uvedených podmínek.</w:t>
      </w:r>
      <w:r w:rsidDel="00000000" w:rsidR="00000000" w:rsidRPr="00000000">
        <w:rPr>
          <w:rtl w:val="0"/>
        </w:rPr>
      </w:r>
    </w:p>
    <w:p w:rsidR="00000000" w:rsidDel="00000000" w:rsidP="00000000" w:rsidRDefault="00000000" w:rsidRPr="00000000" w14:paraId="00000042">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3">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4">
      <w:pPr>
        <w:numPr>
          <w:ilvl w:val="0"/>
          <w:numId w:val="2"/>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45">
      <w:pPr>
        <w:numPr>
          <w:ilvl w:val="0"/>
          <w:numId w:val="2"/>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46">
      <w:pPr>
        <w:numPr>
          <w:ilvl w:val="0"/>
          <w:numId w:val="2"/>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7">
      <w:pPr>
        <w:numPr>
          <w:ilvl w:val="0"/>
          <w:numId w:val="2"/>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8">
      <w:pPr>
        <w:numPr>
          <w:ilvl w:val="0"/>
          <w:numId w:val="2"/>
        </w:numPr>
        <w:ind w:left="425" w:hanging="425"/>
        <w:rPr/>
      </w:pPr>
      <w:bookmarkStart w:colFirst="0" w:colLast="0" w:name="_tyjcwt" w:id="4"/>
      <w:bookmarkEnd w:id="4"/>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9">
      <w:pPr>
        <w:numPr>
          <w:ilvl w:val="0"/>
          <w:numId w:val="2"/>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A">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D">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E">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F">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rtl w:val="0"/>
              </w:rPr>
              <w:t xml:space="preserve">DD. MM. RRRR</w:t>
            </w:r>
          </w:p>
        </w:tc>
        <w:tc>
          <w:tcPr>
            <w:tcBorders>
              <w:bottom w:color="000000" w:space="0" w:sz="4" w:val="single"/>
            </w:tcBorders>
          </w:tcPr>
          <w:p w:rsidR="00000000" w:rsidDel="00000000" w:rsidP="00000000" w:rsidRDefault="00000000" w:rsidRPr="00000000" w14:paraId="00000050">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1">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3dy6vkm" w:id="5"/>
          <w:bookmarkEnd w:id="5"/>
          <w:p w:rsidR="00000000" w:rsidDel="00000000" w:rsidP="00000000" w:rsidRDefault="00000000" w:rsidRPr="00000000" w14:paraId="00000052">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53">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5">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56">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w:t>
            </w:r>
            <w:r w:rsidDel="00000000" w:rsidR="00000000" w:rsidRPr="00000000">
              <w:rPr>
                <w:rFonts w:ascii="Calibri" w:cs="Calibri" w:eastAsia="Calibri" w:hAnsi="Calibri"/>
                <w:rtl w:val="0"/>
              </w:rPr>
              <w:t xml:space="preserve">DD. MM. RRRR</w:t>
            </w:r>
          </w:p>
        </w:tc>
        <w:tc>
          <w:tcPr>
            <w:tcBorders>
              <w:bottom w:color="000000" w:space="0" w:sz="4" w:val="single"/>
            </w:tcBorders>
          </w:tcPr>
          <w:p w:rsidR="00000000" w:rsidDel="00000000" w:rsidP="00000000" w:rsidRDefault="00000000" w:rsidRPr="00000000" w14:paraId="00000058">
            <w:pPr>
              <w:spacing w:after="40" w:before="40" w:lineRule="auto"/>
              <w:jc w:val="center"/>
              <w:rPr>
                <w:rFonts w:ascii="Calibri" w:cs="Calibri" w:eastAsia="Calibri" w:hAnsi="Calibri"/>
              </w:rPr>
            </w:pPr>
            <w:r w:rsidDel="00000000" w:rsidR="00000000" w:rsidRPr="00000000">
              <w:rPr>
                <w:rtl w:val="0"/>
              </w:rPr>
            </w:r>
          </w:p>
        </w:tc>
      </w:tr>
      <w:tr>
        <w:trPr>
          <w:cantSplit w:val="0"/>
          <w:trHeight w:val="977.109375" w:hRule="atLeast"/>
          <w:tblHeader w:val="0"/>
        </w:trPr>
        <w:tc>
          <w:tcPr/>
          <w:p w:rsidR="00000000" w:rsidDel="00000000" w:rsidP="00000000" w:rsidRDefault="00000000" w:rsidRPr="00000000" w14:paraId="00000059">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A">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sectPr>
      <w:headerReference r:id="rId6" w:type="default"/>
      <w:footerReference r:id="rId7"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6</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-727704</wp:posOffset>
          </wp:positionH>
          <wp:positionV relativeFrom="page">
            <wp:posOffset>7620</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D">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hanging="218.26771653543312"/>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